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7B" w:rsidRPr="0022557F" w:rsidRDefault="0022557F" w:rsidP="002255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Theorizing word-class change</w:t>
      </w:r>
      <w:r w:rsidR="00A874B5" w:rsidRPr="002255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history of languages</w:t>
      </w:r>
    </w:p>
    <w:p w:rsidR="001F1C9F" w:rsidRDefault="001F1C9F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María Mare</w:t>
      </w:r>
    </w:p>
    <w:p w:rsidR="001F1C9F" w:rsidRPr="001F1C9F" w:rsidRDefault="001F1C9F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9F">
        <w:rPr>
          <w:rFonts w:ascii="Times New Roman" w:hAnsi="Times New Roman" w:cs="Times New Roman"/>
          <w:sz w:val="24"/>
          <w:szCs w:val="24"/>
        </w:rPr>
        <w:t>Universidad Nacional del Comahue/CONICET</w:t>
      </w:r>
    </w:p>
    <w:p w:rsidR="001F1C9F" w:rsidRDefault="0013709A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F1C9F" w:rsidRPr="00DC237B">
          <w:rPr>
            <w:rStyle w:val="Hyperlink"/>
            <w:rFonts w:ascii="Times New Roman" w:hAnsi="Times New Roman" w:cs="Times New Roman"/>
            <w:sz w:val="24"/>
            <w:szCs w:val="24"/>
          </w:rPr>
          <w:t>mare.purcigliotti@gmail.com</w:t>
        </w:r>
      </w:hyperlink>
    </w:p>
    <w:p w:rsidR="001F1C9F" w:rsidRPr="001F1C9F" w:rsidRDefault="001F1C9F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B2A" w:rsidRPr="0022557F" w:rsidRDefault="00A874B5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One of the most eas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ily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observe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changes in the diachrony of languages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concern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s word classes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broad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sense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. This change involves verbs with semantic content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becoming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auxiliaries, nouns and adjectives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being used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as adverbs, adjectives and verbs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being employed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as nouns, referential expressions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losing their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referential p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>roperties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numeral classifiers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functioning 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>as indefinite determiners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and so on. 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Most of these cases 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>are described as convers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defined as </w:t>
      </w:r>
      <w:r w:rsidR="00DE0D23">
        <w:rPr>
          <w:rFonts w:ascii="Times New Roman" w:hAnsi="Times New Roman" w:cs="Times New Roman"/>
          <w:sz w:val="24"/>
          <w:szCs w:val="24"/>
          <w:lang w:val="en-US"/>
        </w:rPr>
        <w:t>a non-concatenative process (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>i.e. derivation without affixes</w:t>
      </w:r>
      <w:r w:rsidR="00DE0D2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is one of the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0123E4" w:rsidRPr="0022557F">
        <w:rPr>
          <w:rFonts w:ascii="Times New Roman" w:hAnsi="Times New Roman" w:cs="Times New Roman"/>
          <w:sz w:val="24"/>
          <w:szCs w:val="24"/>
          <w:lang w:val="en-US"/>
        </w:rPr>
        <w:t>productive means of forming new words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in many languages (see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, for instance,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Kim 2010).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However, as they involve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not only 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 change of category but also differences in their grammatical properties, some of these changes have been analyzed as cases of grammaticalization 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>(see Narrog &amp; Heine 2017).</w:t>
      </w:r>
    </w:p>
    <w:p w:rsidR="0030411A" w:rsidRDefault="00296B2A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Beyond the label, t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his phenomenon has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raised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many</w:t>
      </w:r>
      <w:r w:rsidR="00CB3CC5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questions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CB3CC5" w:rsidRPr="0022557F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B3CC5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(a) do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lexemes belong to a word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class or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they unmarked (Valera </w:t>
      </w:r>
      <w:r w:rsidR="00CB3CC5" w:rsidRPr="0022557F">
        <w:rPr>
          <w:rFonts w:ascii="Times New Roman" w:hAnsi="Times New Roman" w:cs="Times New Roman"/>
          <w:sz w:val="24"/>
          <w:szCs w:val="24"/>
          <w:lang w:val="en-US"/>
        </w:rPr>
        <w:t>2005</w:t>
      </w:r>
      <w:r w:rsidR="00CA2BAE" w:rsidRPr="002255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?; </w:t>
      </w:r>
      <w:r w:rsidR="00CF6C1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>is there a directionality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 xml:space="preserve"> on word-class changes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?; </w:t>
      </w:r>
      <w:r w:rsidR="00CF6C1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can contact situations </w:t>
      </w:r>
      <w:r w:rsidR="009E1FBB" w:rsidRPr="0022557F">
        <w:rPr>
          <w:rFonts w:ascii="Times New Roman" w:hAnsi="Times New Roman" w:cs="Times New Roman"/>
          <w:sz w:val="24"/>
          <w:szCs w:val="24"/>
          <w:lang w:val="en-US"/>
        </w:rPr>
        <w:t>favor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this change?; </w:t>
      </w:r>
      <w:r w:rsidR="00CF6C1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9A09E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is there </w:t>
      </w:r>
      <w:r w:rsidR="00CF6C12" w:rsidRPr="0022557F">
        <w:rPr>
          <w:rFonts w:ascii="Times New Roman" w:hAnsi="Times New Roman" w:cs="Times New Roman"/>
          <w:sz w:val="24"/>
          <w:szCs w:val="24"/>
          <w:lang w:val="en-US"/>
        </w:rPr>
        <w:t>any content relation between categori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es that facilitate the process?</w:t>
      </w:r>
      <w:r w:rsidR="00CF6C1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goal 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>of this workshop is to discuss word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>class change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without derivational morphology </w:t>
      </w:r>
      <w:r w:rsidR="00F768B6" w:rsidRPr="0022557F">
        <w:rPr>
          <w:rFonts w:ascii="Times New Roman" w:hAnsi="Times New Roman" w:cs="Times New Roman"/>
          <w:sz w:val="24"/>
          <w:szCs w:val="24"/>
          <w:lang w:val="en-US"/>
        </w:rPr>
        <w:t>from different theoretical frameworks.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 aim is to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cross-linguistic regularities and analyze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>different theoretical mod</w:t>
      </w:r>
      <w:r w:rsidR="0030411A">
        <w:rPr>
          <w:rFonts w:ascii="Times New Roman" w:hAnsi="Times New Roman" w:cs="Times New Roman"/>
          <w:sz w:val="24"/>
          <w:szCs w:val="24"/>
          <w:lang w:val="en-US"/>
        </w:rPr>
        <w:t>els account for this variation.</w:t>
      </w:r>
    </w:p>
    <w:p w:rsidR="00CE074D" w:rsidRPr="0022557F" w:rsidRDefault="00DE0D23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worth noting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>
        <w:rPr>
          <w:rFonts w:ascii="Times New Roman" w:hAnsi="Times New Roman" w:cs="Times New Roman"/>
          <w:sz w:val="24"/>
          <w:szCs w:val="24"/>
          <w:lang w:val="en-US"/>
        </w:rPr>
        <w:t>proposal seeks to</w:t>
      </w:r>
      <w:r w:rsidR="0072268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 research 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>in the workshop on categorizers in diachrony in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ICHL 26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word-class change involves categorizers or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at least changes in the functional information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associated with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them. For instance, in the change from adjectives to adverbs in Spanish variation, number and gender morphology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remain unmarked (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Ana habló alt-o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‘She spoke loud’, instead of 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Ana habló alt</w:t>
      </w:r>
      <w:r w:rsidR="003F6182" w:rsidRPr="0022557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alta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matches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7DB" w:rsidRPr="0022557F">
        <w:rPr>
          <w:rFonts w:ascii="Times New Roman" w:hAnsi="Times New Roman" w:cs="Times New Roman"/>
          <w:i/>
          <w:sz w:val="24"/>
          <w:szCs w:val="24"/>
          <w:lang w:val="en-US"/>
        </w:rPr>
        <w:t>Ana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in gender and number)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1B17DB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Pato and Feliu </w:t>
      </w:r>
      <w:r w:rsidR="005B1C98" w:rsidRPr="0022557F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BF7237" w:rsidRPr="0022557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>relevant discussion on variation</w:t>
      </w:r>
      <w:r w:rsidR="005B1C98" w:rsidRPr="0022557F">
        <w:rPr>
          <w:rFonts w:ascii="Times New Roman" w:hAnsi="Times New Roman" w:cs="Times New Roman"/>
          <w:sz w:val="24"/>
          <w:szCs w:val="24"/>
          <w:lang w:val="en-US"/>
        </w:rPr>
        <w:t>). Similar phenomena are observed across languages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1C98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and from a diachronic perspective</w:t>
      </w:r>
      <w:r w:rsidR="00296B2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5B1C98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are analyzed in terms of g</w:t>
      </w:r>
      <w:r w:rsidR="003F618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rammaticalization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Haspelmath 1998</w:t>
      </w:r>
      <w:r w:rsidR="00BF7237" w:rsidRPr="0022557F">
        <w:rPr>
          <w:rFonts w:ascii="Times New Roman" w:hAnsi="Times New Roman" w:cs="Times New Roman"/>
          <w:sz w:val="24"/>
          <w:szCs w:val="24"/>
          <w:lang w:val="en-US"/>
        </w:rPr>
        <w:t>, Hopper &amp; Traugott 2003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F6182" w:rsidRPr="0022557F">
        <w:rPr>
          <w:rFonts w:ascii="Times New Roman" w:hAnsi="Times New Roman" w:cs="Times New Roman"/>
          <w:sz w:val="24"/>
          <w:szCs w:val="24"/>
          <w:lang w:val="en-US"/>
        </w:rPr>
        <w:t>or reanalysis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>Madariaga 2017)</w:t>
      </w:r>
      <w:r w:rsidR="003F6182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depending on the hypothesis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="003F6182" w:rsidRPr="002255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6C12" w:rsidRPr="0022557F" w:rsidRDefault="0046062A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The question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of why word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class cha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nges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occur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is relevant for all theoretical framewo</w:t>
      </w:r>
      <w:r w:rsidR="003041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ks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and solutions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explore sharing properties between the classes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lastRenderedPageBreak/>
        <w:t>involved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Coming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back to the relation with categorizers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deep discussions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their properties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shed some light on this issue. For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>the proposal that adjectivizers do not exist but adjective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s are the result of combining a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ominalizer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with a v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erbalizer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Mitrović &amp;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Panagiotidis 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>allow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us </w:t>
      </w:r>
      <w:r w:rsidR="00EE4157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73AFA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explore an analysis for some changes in terms of contention 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>(Mare 2023).</w:t>
      </w:r>
    </w:p>
    <w:p w:rsidR="001F1C9F" w:rsidRDefault="001F1C9F" w:rsidP="002255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212529"/>
          <w:lang w:val="en-US"/>
        </w:rPr>
      </w:pPr>
    </w:p>
    <w:p w:rsidR="00020D58" w:rsidRPr="0022557F" w:rsidRDefault="00020D58" w:rsidP="002255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en-US"/>
        </w:rPr>
      </w:pPr>
      <w:r w:rsidRPr="0022557F">
        <w:rPr>
          <w:rStyle w:val="Strong"/>
          <w:color w:val="212529"/>
          <w:lang w:val="en-US"/>
        </w:rPr>
        <w:t xml:space="preserve">Research questions and </w:t>
      </w:r>
      <w:r w:rsidR="000C12FE" w:rsidRPr="0022557F">
        <w:rPr>
          <w:rStyle w:val="Strong"/>
          <w:color w:val="212529"/>
          <w:lang w:val="en-US"/>
        </w:rPr>
        <w:t>aims</w:t>
      </w:r>
      <w:r w:rsidRPr="0022557F">
        <w:rPr>
          <w:rStyle w:val="Strong"/>
          <w:color w:val="212529"/>
          <w:lang w:val="en-US"/>
        </w:rPr>
        <w:t>:</w:t>
      </w:r>
    </w:p>
    <w:p w:rsidR="00020D58" w:rsidRPr="0022557F" w:rsidRDefault="00020D58" w:rsidP="002255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lang w:val="en-US"/>
        </w:rPr>
      </w:pPr>
      <w:r w:rsidRPr="0022557F">
        <w:rPr>
          <w:color w:val="212529"/>
          <w:lang w:val="en-US"/>
        </w:rPr>
        <w:t>We welcome further contributions</w:t>
      </w:r>
      <w:r w:rsidR="00045471">
        <w:rPr>
          <w:color w:val="212529"/>
          <w:lang w:val="en-US"/>
        </w:rPr>
        <w:t xml:space="preserve"> (in both English and Spanish)</w:t>
      </w:r>
      <w:r w:rsidRPr="0022557F">
        <w:rPr>
          <w:color w:val="212529"/>
          <w:lang w:val="en-US"/>
        </w:rPr>
        <w:t xml:space="preserve"> to the workshop that address </w:t>
      </w:r>
      <w:r w:rsidR="000C12FE" w:rsidRPr="0022557F">
        <w:rPr>
          <w:color w:val="212529"/>
          <w:lang w:val="en-US"/>
        </w:rPr>
        <w:t>word-</w:t>
      </w:r>
      <w:r w:rsidRPr="0022557F">
        <w:rPr>
          <w:color w:val="212529"/>
          <w:lang w:val="en-US"/>
        </w:rPr>
        <w:t>class changes from different frameworks</w:t>
      </w:r>
      <w:r w:rsidR="000C12FE" w:rsidRPr="0022557F">
        <w:rPr>
          <w:color w:val="212529"/>
          <w:lang w:val="en-US"/>
        </w:rPr>
        <w:t>,</w:t>
      </w:r>
      <w:r w:rsidRPr="0022557F">
        <w:rPr>
          <w:color w:val="212529"/>
          <w:lang w:val="en-US"/>
        </w:rPr>
        <w:t xml:space="preserve"> in order to </w:t>
      </w:r>
      <w:r w:rsidR="007A342D" w:rsidRPr="0022557F">
        <w:rPr>
          <w:color w:val="212529"/>
          <w:lang w:val="en-US"/>
        </w:rPr>
        <w:t xml:space="preserve">share perspectives </w:t>
      </w:r>
      <w:r w:rsidR="000C12FE" w:rsidRPr="0022557F">
        <w:rPr>
          <w:color w:val="212529"/>
          <w:lang w:val="en-US"/>
        </w:rPr>
        <w:t>on</w:t>
      </w:r>
      <w:r w:rsidRPr="0022557F">
        <w:rPr>
          <w:color w:val="212529"/>
          <w:lang w:val="en-US"/>
        </w:rPr>
        <w:t xml:space="preserve"> </w:t>
      </w:r>
      <w:r w:rsidR="00791B1C">
        <w:rPr>
          <w:color w:val="212529"/>
          <w:lang w:val="en-US"/>
        </w:rPr>
        <w:t xml:space="preserve">the </w:t>
      </w:r>
      <w:r w:rsidRPr="0022557F">
        <w:rPr>
          <w:color w:val="212529"/>
          <w:lang w:val="en-US"/>
        </w:rPr>
        <w:t xml:space="preserve">following </w:t>
      </w:r>
      <w:r w:rsidR="007A342D" w:rsidRPr="0022557F">
        <w:rPr>
          <w:color w:val="212529"/>
          <w:lang w:val="en-US"/>
        </w:rPr>
        <w:t>questions and beyond</w:t>
      </w:r>
      <w:r w:rsidRPr="0022557F">
        <w:rPr>
          <w:color w:val="212529"/>
          <w:lang w:val="en-US"/>
        </w:rPr>
        <w:t>:</w:t>
      </w:r>
    </w:p>
    <w:p w:rsidR="001B17DB" w:rsidRPr="0022557F" w:rsidRDefault="007A342D" w:rsidP="0022557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hich kinds of word-class change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can we find </w:t>
      </w:r>
      <w:r w:rsidR="000C12FE" w:rsidRPr="0022557F">
        <w:rPr>
          <w:rFonts w:ascii="Times New Roman" w:hAnsi="Times New Roman" w:cs="Times New Roman"/>
          <w:sz w:val="24"/>
          <w:szCs w:val="24"/>
          <w:lang w:val="en-US"/>
        </w:rPr>
        <w:t>across languages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342D" w:rsidRPr="0022557F" w:rsidRDefault="007A342D" w:rsidP="0022557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How can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we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relate this phenomenon 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assumptions 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categories and functional information?</w:t>
      </w:r>
    </w:p>
    <w:p w:rsidR="007A342D" w:rsidRPr="0022557F" w:rsidRDefault="0022557F" w:rsidP="0022557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7A342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are the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7A342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properties/features that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might motivate </w:t>
      </w:r>
      <w:r w:rsidR="007A342D" w:rsidRPr="0022557F">
        <w:rPr>
          <w:rFonts w:ascii="Times New Roman" w:hAnsi="Times New Roman" w:cs="Times New Roman"/>
          <w:sz w:val="24"/>
          <w:szCs w:val="24"/>
          <w:lang w:val="en-US"/>
        </w:rPr>
        <w:t>this kind of change</w:t>
      </w:r>
      <w:r w:rsidR="00DE0D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342D" w:rsidRPr="0022557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A342D" w:rsidRPr="0022557F" w:rsidRDefault="001C72B7" w:rsidP="0022557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could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the empirical evidence 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this topic refine the theoretical frameworks?</w:t>
      </w:r>
    </w:p>
    <w:p w:rsidR="00373783" w:rsidRPr="0022557F" w:rsidRDefault="00373783" w:rsidP="0022557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Where are the shared properties/features</w:t>
      </w:r>
      <w:r w:rsidR="00CE074D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located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: in the lexical items, in the syntax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30411A" w:rsidRPr="0022557F">
        <w:rPr>
          <w:rFonts w:ascii="Times New Roman" w:hAnsi="Times New Roman" w:cs="Times New Roman"/>
          <w:sz w:val="24"/>
          <w:szCs w:val="24"/>
          <w:lang w:val="en-US"/>
        </w:rPr>
        <w:t>neighboring</w:t>
      </w:r>
      <w:r w:rsidR="0022557F"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620" w:rsidRPr="0022557F">
        <w:rPr>
          <w:rFonts w:ascii="Times New Roman" w:hAnsi="Times New Roman" w:cs="Times New Roman"/>
          <w:sz w:val="24"/>
          <w:szCs w:val="24"/>
          <w:lang w:val="en-US"/>
        </w:rPr>
        <w:t>elements?</w:t>
      </w:r>
    </w:p>
    <w:p w:rsidR="0022557F" w:rsidRPr="0022557F" w:rsidRDefault="0022557F" w:rsidP="002255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3CC5" w:rsidRPr="0022557F" w:rsidRDefault="00CB3CC5" w:rsidP="002255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57F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2557F" w:rsidRPr="0022557F" w:rsidRDefault="0022557F" w:rsidP="0022557F">
      <w:pPr>
        <w:pStyle w:val="MDPI71References"/>
        <w:numPr>
          <w:ilvl w:val="0"/>
          <w:numId w:val="0"/>
        </w:numPr>
        <w:spacing w:line="360" w:lineRule="auto"/>
        <w:ind w:left="567" w:hanging="567"/>
        <w:rPr>
          <w:rFonts w:ascii="Times New Roman" w:hAnsi="Times New Roman"/>
          <w:sz w:val="24"/>
          <w:szCs w:val="24"/>
          <w:lang w:val="es-ES"/>
        </w:rPr>
      </w:pPr>
      <w:r w:rsidRPr="0022557F">
        <w:rPr>
          <w:rFonts w:ascii="Times New Roman" w:hAnsi="Times New Roman"/>
          <w:sz w:val="24"/>
          <w:szCs w:val="24"/>
          <w:lang w:val="es-ES"/>
        </w:rPr>
        <w:t>Felíu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Arquiola,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E. &amp; E. Pato.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2020.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En torno a la denominada “concordancia adverbial” en español: Tres casos de variación</w:t>
      </w:r>
      <w:r w:rsidRPr="0022557F">
        <w:rPr>
          <w:rFonts w:ascii="Times New Roman" w:hAnsi="Times New Roman"/>
          <w:sz w:val="24"/>
          <w:szCs w:val="24"/>
          <w:lang w:val="es-ES"/>
        </w:rPr>
        <w:t>.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Madrid: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Consejo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superior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de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investigaciones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científicas</w:t>
      </w:r>
      <w:r w:rsidRPr="0022557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22557F">
        <w:rPr>
          <w:rFonts w:ascii="Times New Roman" w:hAnsi="Times New Roman"/>
          <w:sz w:val="24"/>
          <w:szCs w:val="24"/>
          <w:lang w:val="es-ES"/>
        </w:rPr>
        <w:t>(CSIC).</w:t>
      </w:r>
    </w:p>
    <w:p w:rsidR="0022557F" w:rsidRPr="0022557F" w:rsidRDefault="0022557F" w:rsidP="0022557F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1C9F">
        <w:rPr>
          <w:rFonts w:ascii="Times New Roman" w:hAnsi="Times New Roman" w:cs="Times New Roman"/>
          <w:sz w:val="24"/>
          <w:szCs w:val="24"/>
        </w:rPr>
        <w:t xml:space="preserve">Harrog, H. &amp; B. Heine. 2017. Grammaticalization. </w:t>
      </w:r>
      <w:r w:rsidRPr="002255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 A. Ledgeway &amp; I. Roberts (eds.), </w:t>
      </w:r>
      <w:r w:rsidRPr="002255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Cambridge Handbook of Historical Syntax</w:t>
      </w:r>
      <w:r w:rsidRPr="002255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(7- 27). Cambridge University Press.</w:t>
      </w:r>
    </w:p>
    <w:p w:rsidR="0022557F" w:rsidRPr="0022557F" w:rsidRDefault="0022557F" w:rsidP="0022557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Haspelmath, M. 1998. Does grammaticalization need reanalysis? 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>Studies in Language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22 (2)</w:t>
      </w:r>
      <w:r w:rsidR="006D0D7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315-351.</w:t>
      </w:r>
    </w:p>
    <w:p w:rsidR="0022557F" w:rsidRPr="0022557F" w:rsidRDefault="0022557F" w:rsidP="0022557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Hopper, P. &amp; E. </w:t>
      </w:r>
      <w:r w:rsidR="00791B1C">
        <w:rPr>
          <w:rFonts w:ascii="Times New Roman" w:hAnsi="Times New Roman" w:cs="Times New Roman"/>
          <w:sz w:val="24"/>
          <w:szCs w:val="24"/>
          <w:lang w:val="en-US"/>
        </w:rPr>
        <w:t xml:space="preserve">Traugott.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2003. 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>Grammaticalization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. Cambridge University Press.</w:t>
      </w:r>
    </w:p>
    <w:p w:rsidR="0022557F" w:rsidRPr="0022557F" w:rsidRDefault="0022557F" w:rsidP="0022557F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Kim, G. 2010. </w:t>
      </w:r>
      <w:r w:rsidRPr="002255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Synchrony and Diachrony of Conversion in English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Msc. Dissertation, University of Edinburgh.</w:t>
      </w:r>
    </w:p>
    <w:p w:rsidR="0022557F" w:rsidRPr="0022557F" w:rsidRDefault="0022557F" w:rsidP="0022557F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57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Madariaga, N. 2017. Reanalysis. En A. Ledgeway &amp; I. Roberts (eds.), </w:t>
      </w:r>
      <w:r w:rsidRPr="002255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Cambridge Handbook of Historical Syntax</w:t>
      </w:r>
      <w:r w:rsidRPr="002255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(70- 91). Cambridge University Press.</w:t>
      </w:r>
    </w:p>
    <w:p w:rsidR="0022557F" w:rsidRPr="0022557F" w:rsidRDefault="0022557F" w:rsidP="0022557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Mare, M. 2023. A formal approach to Spanish “genitive” pronouns in non-nominal domains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>. Languages 2023</w:t>
      </w:r>
      <w:r w:rsidR="006D0D75">
        <w:rPr>
          <w:rFonts w:ascii="Times New Roman" w:hAnsi="Times New Roman" w:cs="Times New Roman"/>
          <w:sz w:val="24"/>
          <w:szCs w:val="24"/>
          <w:lang w:val="en-US"/>
        </w:rPr>
        <w:t>, 8(4), 233: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 1- 19.</w:t>
      </w:r>
    </w:p>
    <w:p w:rsidR="0022557F" w:rsidRPr="0022557F" w:rsidRDefault="0022557F" w:rsidP="0022557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>Mitrović,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&amp; P. Panagiotidis.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2020.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Adjectives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exist,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adjectivisers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not: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bicategorial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typology.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57F">
        <w:rPr>
          <w:rFonts w:ascii="Times New Roman" w:hAnsi="Times New Roman" w:cs="Times New Roman"/>
          <w:i/>
          <w:iCs/>
          <w:sz w:val="24"/>
          <w:szCs w:val="24"/>
        </w:rPr>
        <w:t>Glossa: A Journal of General Linguistics</w:t>
      </w:r>
      <w:r w:rsidRPr="002255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5:</w:t>
      </w:r>
      <w:r w:rsidRPr="002255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58</w:t>
      </w:r>
    </w:p>
    <w:p w:rsidR="0022557F" w:rsidRPr="0022557F" w:rsidRDefault="0022557F" w:rsidP="0022557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2557F">
        <w:rPr>
          <w:rFonts w:ascii="Times New Roman" w:hAnsi="Times New Roman" w:cs="Times New Roman"/>
          <w:sz w:val="24"/>
          <w:szCs w:val="24"/>
          <w:lang w:val="en-US"/>
        </w:rPr>
        <w:t xml:space="preserve">Valera, S. 2005. Conversion vs.  unmarked word-class  change. </w:t>
      </w:r>
      <w:r w:rsidRPr="0022557F">
        <w:rPr>
          <w:rFonts w:ascii="Times New Roman" w:hAnsi="Times New Roman" w:cs="Times New Roman"/>
          <w:i/>
          <w:sz w:val="24"/>
          <w:szCs w:val="24"/>
          <w:lang w:val="en-US"/>
        </w:rPr>
        <w:t>SKASE  Journal  of  Theoretical Linguistics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, 2(1)</w:t>
      </w:r>
      <w:r w:rsidR="006D0D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2557F">
        <w:rPr>
          <w:rFonts w:ascii="Times New Roman" w:hAnsi="Times New Roman" w:cs="Times New Roman"/>
          <w:sz w:val="24"/>
          <w:szCs w:val="24"/>
          <w:lang w:val="en-US"/>
        </w:rPr>
        <w:t>20-42.</w:t>
      </w:r>
    </w:p>
    <w:p w:rsidR="00BF7237" w:rsidRPr="0022557F" w:rsidRDefault="00BF7237" w:rsidP="002255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7237" w:rsidRPr="00225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4B4"/>
    <w:multiLevelType w:val="hybridMultilevel"/>
    <w:tmpl w:val="ED244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7BBA1E04"/>
    <w:lvl w:ilvl="0" w:tplc="EF983C84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277B"/>
    <w:rsid w:val="000123E4"/>
    <w:rsid w:val="00020D58"/>
    <w:rsid w:val="00045471"/>
    <w:rsid w:val="000C12FE"/>
    <w:rsid w:val="0013709A"/>
    <w:rsid w:val="001B17DB"/>
    <w:rsid w:val="001C72B7"/>
    <w:rsid w:val="001F1C9F"/>
    <w:rsid w:val="0022557F"/>
    <w:rsid w:val="00296B2A"/>
    <w:rsid w:val="0030411A"/>
    <w:rsid w:val="00373783"/>
    <w:rsid w:val="003F6182"/>
    <w:rsid w:val="0046062A"/>
    <w:rsid w:val="00473AFA"/>
    <w:rsid w:val="005B1C98"/>
    <w:rsid w:val="006D0D75"/>
    <w:rsid w:val="006E3407"/>
    <w:rsid w:val="0072268A"/>
    <w:rsid w:val="00791B1C"/>
    <w:rsid w:val="007A342D"/>
    <w:rsid w:val="009A09E6"/>
    <w:rsid w:val="009E1FBB"/>
    <w:rsid w:val="00A77A5D"/>
    <w:rsid w:val="00A874B5"/>
    <w:rsid w:val="00AF1620"/>
    <w:rsid w:val="00BF7237"/>
    <w:rsid w:val="00CA2BAE"/>
    <w:rsid w:val="00CB3CC5"/>
    <w:rsid w:val="00CE074D"/>
    <w:rsid w:val="00CE1AAA"/>
    <w:rsid w:val="00CF6C12"/>
    <w:rsid w:val="00D17904"/>
    <w:rsid w:val="00DD75E1"/>
    <w:rsid w:val="00DE0D23"/>
    <w:rsid w:val="00EE4157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976CA9-8B03-CE4C-8FA2-AD49D84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020D58"/>
    <w:rPr>
      <w:b/>
      <w:bCs/>
    </w:rPr>
  </w:style>
  <w:style w:type="paragraph" w:customStyle="1" w:styleId="MDPI71References">
    <w:name w:val="MDPI_7.1_References"/>
    <w:qFormat/>
    <w:rsid w:val="00BF7237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225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.purciglio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Veronica Mariel Orqueda</cp:lastModifiedBy>
  <cp:revision>2</cp:revision>
  <cp:lastPrinted>2024-08-02T14:46:00Z</cp:lastPrinted>
  <dcterms:created xsi:type="dcterms:W3CDTF">2024-08-07T11:50:00Z</dcterms:created>
  <dcterms:modified xsi:type="dcterms:W3CDTF">2024-08-07T11:50:00Z</dcterms:modified>
</cp:coreProperties>
</file>